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BA" w:rsidRDefault="00F73ABA" w:rsidP="00F73A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REPUBLIQUE DU NIGER</w:t>
      </w:r>
    </w:p>
    <w:p w:rsidR="00F73ABA" w:rsidRDefault="00F73ABA" w:rsidP="00F73A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REGION DE DOSSO</w:t>
      </w:r>
    </w:p>
    <w:p w:rsidR="00F73ABA" w:rsidRDefault="00F73ABA" w:rsidP="00F73A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DEPARTEMENT DE TIBRI</w:t>
      </w:r>
    </w:p>
    <w:p w:rsidR="00F73ABA" w:rsidRDefault="00F73ABA" w:rsidP="00F73A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COMMUNE RURALE DE TIBIRI</w:t>
      </w:r>
    </w:p>
    <w:p w:rsidR="00F73ABA" w:rsidRDefault="00F73ABA" w:rsidP="00F73AB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SECRETARIAT GENERAL</w:t>
      </w:r>
    </w:p>
    <w:p w:rsidR="00F73ABA" w:rsidRDefault="00F73ABA" w:rsidP="00F73ABA">
      <w:pPr>
        <w:rPr>
          <w:sz w:val="28"/>
          <w:szCs w:val="28"/>
        </w:rPr>
      </w:pPr>
    </w:p>
    <w:p w:rsidR="00F73ABA" w:rsidRDefault="00F73ABA" w:rsidP="00F73ABA">
      <w:pPr>
        <w:rPr>
          <w:sz w:val="28"/>
          <w:szCs w:val="28"/>
        </w:rPr>
      </w:pPr>
    </w:p>
    <w:p w:rsidR="00F73ABA" w:rsidRDefault="00F73ABA" w:rsidP="00F73ABA">
      <w:pPr>
        <w:rPr>
          <w:sz w:val="28"/>
          <w:szCs w:val="28"/>
        </w:rPr>
      </w:pPr>
    </w:p>
    <w:p w:rsidR="00F73ABA" w:rsidRDefault="00F73ABA" w:rsidP="00F73ABA">
      <w:pPr>
        <w:rPr>
          <w:sz w:val="28"/>
          <w:szCs w:val="28"/>
        </w:rPr>
      </w:pPr>
    </w:p>
    <w:p w:rsidR="00F73ABA" w:rsidRDefault="00F73ABA" w:rsidP="00F73ABA">
      <w:pPr>
        <w:rPr>
          <w:b/>
          <w:sz w:val="28"/>
          <w:szCs w:val="28"/>
        </w:rPr>
      </w:pPr>
    </w:p>
    <w:p w:rsidR="00F73ABA" w:rsidRDefault="00F73ABA" w:rsidP="00F73ABA">
      <w:pPr>
        <w:rPr>
          <w:b/>
          <w:sz w:val="28"/>
          <w:szCs w:val="28"/>
        </w:rPr>
      </w:pPr>
    </w:p>
    <w:p w:rsidR="00F73ABA" w:rsidRDefault="00F73ABA" w:rsidP="00F73ABA">
      <w:pPr>
        <w:rPr>
          <w:b/>
          <w:sz w:val="28"/>
          <w:szCs w:val="28"/>
        </w:rPr>
      </w:pPr>
    </w:p>
    <w:p w:rsidR="00F73ABA" w:rsidRDefault="00F73ABA" w:rsidP="00F73ABA">
      <w:pPr>
        <w:rPr>
          <w:b/>
          <w:sz w:val="28"/>
          <w:szCs w:val="28"/>
        </w:rPr>
      </w:pPr>
    </w:p>
    <w:p w:rsidR="00F73ABA" w:rsidRDefault="00F73ABA" w:rsidP="00F73ABA">
      <w:pPr>
        <w:rPr>
          <w:b/>
          <w:sz w:val="28"/>
          <w:szCs w:val="28"/>
        </w:rPr>
      </w:pPr>
      <w:r>
        <w:rPr>
          <w:b/>
          <w:sz w:val="28"/>
          <w:szCs w:val="28"/>
        </w:rPr>
        <w:t>PV DE LA 1</w:t>
      </w:r>
      <w:r>
        <w:rPr>
          <w:b/>
          <w:sz w:val="28"/>
          <w:szCs w:val="28"/>
          <w:vertAlign w:val="superscript"/>
        </w:rPr>
        <w:t>ère</w:t>
      </w:r>
      <w:r>
        <w:rPr>
          <w:b/>
          <w:sz w:val="28"/>
          <w:szCs w:val="28"/>
        </w:rPr>
        <w:t xml:space="preserve">  SESSION ORDINAIRE 2025 DE LA COMMISSION CONSULTATIVE  COMMUNALE </w:t>
      </w: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L’an deux mille vingt-cinq et les 28, 29,30 Avril et le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Mai  se sont tenus les travaux de la première session de la commission consultative communale de la Commune Rurale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>, sous la présidence de l’Officier Principal de la Police  Aboubacar Amadou Traoré Administrateur Délégué président de ladite commission.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Etaient présents, les membres de la Commission Consultative Communale suivants :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– Aboubacar Amadou Traoré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proofErr w:type="spellStart"/>
      <w:r>
        <w:rPr>
          <w:sz w:val="28"/>
          <w:szCs w:val="28"/>
        </w:rPr>
        <w:t>Moudi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service de l’Education Nationale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 -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service de santé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proofErr w:type="spellStart"/>
      <w:r>
        <w:rPr>
          <w:sz w:val="28"/>
          <w:szCs w:val="28"/>
        </w:rPr>
        <w:t>Agali</w:t>
      </w:r>
      <w:proofErr w:type="spellEnd"/>
      <w:r>
        <w:rPr>
          <w:sz w:val="28"/>
          <w:szCs w:val="28"/>
        </w:rPr>
        <w:t xml:space="preserve"> Djibril service de l’environnement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– </w:t>
      </w:r>
      <w:proofErr w:type="spellStart"/>
      <w:r>
        <w:rPr>
          <w:sz w:val="28"/>
          <w:szCs w:val="28"/>
        </w:rPr>
        <w:t>Zakari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Soumana</w:t>
      </w:r>
      <w:proofErr w:type="spellEnd"/>
      <w:r>
        <w:rPr>
          <w:sz w:val="28"/>
          <w:szCs w:val="28"/>
        </w:rPr>
        <w:t xml:space="preserve"> Service hydraulique 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6 -  </w:t>
      </w:r>
      <w:proofErr w:type="spellStart"/>
      <w:r>
        <w:rPr>
          <w:sz w:val="28"/>
          <w:szCs w:val="28"/>
        </w:rPr>
        <w:t>Salifou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Aniwali</w:t>
      </w:r>
      <w:proofErr w:type="spellEnd"/>
      <w:r>
        <w:rPr>
          <w:sz w:val="28"/>
          <w:szCs w:val="28"/>
        </w:rPr>
        <w:t xml:space="preserve"> Togo Service Développement Communautaire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7 - </w:t>
      </w:r>
      <w:proofErr w:type="spellStart"/>
      <w:r>
        <w:rPr>
          <w:sz w:val="28"/>
          <w:szCs w:val="28"/>
        </w:rPr>
        <w:t>Oumarou</w:t>
      </w:r>
      <w:proofErr w:type="spellEnd"/>
      <w:r>
        <w:rPr>
          <w:sz w:val="28"/>
          <w:szCs w:val="28"/>
        </w:rPr>
        <w:t xml:space="preserve"> Farouk Mahamadou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OSC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proofErr w:type="spellStart"/>
      <w:r>
        <w:rPr>
          <w:sz w:val="28"/>
          <w:szCs w:val="28"/>
        </w:rPr>
        <w:t>Hassana</w:t>
      </w:r>
      <w:proofErr w:type="spellEnd"/>
      <w:r>
        <w:rPr>
          <w:sz w:val="28"/>
          <w:szCs w:val="28"/>
        </w:rPr>
        <w:t xml:space="preserve"> Koné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OSC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9--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Chef canton 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10 - Idrissa </w:t>
      </w:r>
      <w:proofErr w:type="spellStart"/>
      <w:r>
        <w:rPr>
          <w:sz w:val="28"/>
          <w:szCs w:val="28"/>
        </w:rPr>
        <w:t>Harouna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C.C des jeunes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11 - Moussa </w:t>
      </w:r>
      <w:proofErr w:type="spellStart"/>
      <w:r>
        <w:rPr>
          <w:sz w:val="28"/>
          <w:szCs w:val="28"/>
        </w:rPr>
        <w:t>Mamane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Chef </w:t>
      </w:r>
      <w:proofErr w:type="spellStart"/>
      <w:r>
        <w:rPr>
          <w:sz w:val="28"/>
          <w:szCs w:val="28"/>
        </w:rPr>
        <w:t>Grpt</w:t>
      </w:r>
      <w:proofErr w:type="spellEnd"/>
      <w:r>
        <w:rPr>
          <w:sz w:val="28"/>
          <w:szCs w:val="28"/>
        </w:rPr>
        <w:t xml:space="preserve"> Peulh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– </w:t>
      </w:r>
      <w:proofErr w:type="spellStart"/>
      <w:r>
        <w:rPr>
          <w:sz w:val="28"/>
          <w:szCs w:val="28"/>
        </w:rPr>
        <w:t>Mamoudou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Religieux 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– Moussa </w:t>
      </w:r>
      <w:proofErr w:type="spellStart"/>
      <w:r>
        <w:rPr>
          <w:sz w:val="28"/>
          <w:szCs w:val="28"/>
        </w:rPr>
        <w:t>Mainassara</w:t>
      </w:r>
      <w:proofErr w:type="spellEnd"/>
      <w:r>
        <w:rPr>
          <w:sz w:val="28"/>
          <w:szCs w:val="28"/>
        </w:rPr>
        <w:t xml:space="preserve"> SG Rapporteur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Etaient  présents à l’ouverture de la  session,  Monsieur le Préfet du Département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>, le Secrétaire Général du Département, les Directeurs Départementaux des  services déconcentrés de l’Etat, les responsables des Forces de Défense et de Sécurité, et plusieurs invités.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la vérification de quorum, une </w:t>
      </w:r>
      <w:proofErr w:type="spellStart"/>
      <w:r>
        <w:rPr>
          <w:sz w:val="28"/>
          <w:szCs w:val="28"/>
        </w:rPr>
        <w:t>fatiha</w:t>
      </w:r>
      <w:proofErr w:type="spellEnd"/>
      <w:r>
        <w:rPr>
          <w:sz w:val="28"/>
          <w:szCs w:val="28"/>
        </w:rPr>
        <w:t xml:space="preserve"> a été dite par un participant, la parole était donnée au Préfet du Département qui, dans une allocution a rappelé le contexte dans lequel se trouve le pays à l’heure où s’ouvre cette session notamment la résilience du peuple Nigérien face à la souffrance que lui font endurer les forces du mal. Il a aussi salué l’engagement et la cohésion qui caractérise les membres de la commission qu’il a invités à mettre en avant les intérêts supérieurs de la Commune. Il a enfin invité  les membres de la commission et l’exécutif communal à une rigoureuse orthodoxie administrative et financière dans la gestion.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fut ensuite donnée à l’Administrateur Délégué pour le discours d’ouverture. Il a pour sa part rappelé le contexte dans lequel s’ouvre cette session caractérisé par le passage sporadique des petits groupes d’hommes armés à bord des motos ; Cela l’a amené à inviter les membres de la commission et au-delà toute la population à une vigilance accrue afin de dénoncer tout cas suspect. Il a en outre remercié les membres de la commission pour leur promptitude avant de leur transmettre les salutations des plus hautes autorités de ce pays. Enfin la parole a été donnée au Secrétaire Général de la Préfecture qui a donné de sages conseils sur le civisme et la nécessité de rendre la commune performante.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Une pause a été observée ce qui a permis aux invités de se retirer.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Au retour de la pause le Secrétaire Général a proposé l’ordre du jour pour amendement comportant les points suivants :</w:t>
      </w:r>
    </w:p>
    <w:p w:rsidR="00F73ABA" w:rsidRDefault="00F73ABA" w:rsidP="00F73AB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Amendement et adoption du PV de la session budgétaire</w:t>
      </w:r>
    </w:p>
    <w:p w:rsidR="00F73ABA" w:rsidRDefault="00F73ABA" w:rsidP="00F73AB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 Approbation des comptes administratifs et de gestions 2024</w:t>
      </w:r>
    </w:p>
    <w:p w:rsidR="00F73ABA" w:rsidRDefault="00F73ABA" w:rsidP="00F73AB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 Remaniement budgétaire 2025</w:t>
      </w:r>
    </w:p>
    <w:p w:rsidR="00F73ABA" w:rsidRDefault="00F73ABA" w:rsidP="00F73ABA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-   Divers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Après débat les membres de la commission ont jugé la pertinence de cet ordre du jour et l’ont adopté. Ce qui a permis de rentrer dans le vif du sujet.</w:t>
      </w:r>
    </w:p>
    <w:p w:rsidR="00F73ABA" w:rsidRDefault="00F73ABA" w:rsidP="00F73ABA">
      <w:pPr>
        <w:pStyle w:val="Paragraphedeliste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 l’adoption du PV de la dernière session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.Le secrétaire Général a procédé en une  lecture du PV  de la session budgétaire et parole fut donnée aux membres de la commission pour amendement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Les amendements suivants ont été proposés :</w:t>
      </w:r>
    </w:p>
    <w:p w:rsidR="00F73ABA" w:rsidRDefault="00F73ABA" w:rsidP="00F73ABA">
      <w:pPr>
        <w:pStyle w:val="Paragraphedeliste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Préciser que c’est l’Administrateur Délégué qui ouvre la session non le Préfet</w:t>
      </w:r>
    </w:p>
    <w:p w:rsidR="00F73ABA" w:rsidRDefault="00F73ABA" w:rsidP="00F73ABA">
      <w:pPr>
        <w:pStyle w:val="Paragraphedeliste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Remplacer le mot ‘’remarque ‘’ par le mot ‘’ observation’’ dans la partie II relative à l’approbation du PV de la session de septembre 2024. </w:t>
      </w:r>
    </w:p>
    <w:p w:rsidR="00F73ABA" w:rsidRDefault="00F73ABA" w:rsidP="00F73ABA">
      <w:pPr>
        <w:pStyle w:val="Paragraphedeliste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Troisième partie, relative au budget dire ‘’le Receveur Municipal a commencé par donner l’exécution du budget’’ au lieu de ‘’la situation de la caisse’’.</w:t>
      </w:r>
    </w:p>
    <w:p w:rsidR="00F73ABA" w:rsidRDefault="00F73ABA" w:rsidP="00F73ABA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Sous réserve de l’intégration de ces amendements, le PV de la session budgétaire a été adopté.</w:t>
      </w:r>
    </w:p>
    <w:p w:rsidR="00F73ABA" w:rsidRDefault="00F73ABA" w:rsidP="00F73ABA">
      <w:pPr>
        <w:pStyle w:val="Paragraphedeliste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 l’approbation des comptes administratifs et de gestion 2024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a été donnée au Receveur Municipal qui a brossé à l’assistance :</w:t>
      </w:r>
    </w:p>
    <w:p w:rsidR="00F73ABA" w:rsidRDefault="00F73ABA" w:rsidP="00F73ABA">
      <w:pPr>
        <w:pStyle w:val="Paragraphedeliste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tableau détaillé des recouvrements de l’exercice 2024 au 31-12-2024, chapitre par chapitre, article par article ;</w:t>
      </w:r>
    </w:p>
    <w:p w:rsidR="00F73ABA" w:rsidRDefault="00F73ABA" w:rsidP="00F73AB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 Un tableau détaillé des payements de l’exercice 2024 au 31/12/2024 chapitre par chapitre et article par article.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- A chaque étape, les membres de la commission qui le désirent ont pris la parole pour poser des questions auxquelles le receveur municipal a donné des réponses claires et satisfaisantes. Après quoi les comptes de gestions et administratifs furent adoptés à l’unanimité.</w:t>
      </w:r>
    </w:p>
    <w:p w:rsidR="00F73ABA" w:rsidRDefault="00F73ABA" w:rsidP="00F73ABA">
      <w:pPr>
        <w:pStyle w:val="Paragraphedeliste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 remaniement budgétaire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Afin de prendre en compte les subventions des bailleurs de fonds et les nouvelles intégrations des fonds de péréquation un remaniement budgétaire s’impose.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Dans son exposé le receveur municipal a expliqué chapitre par chapitre, article par article les points qui ont fait l’objet de remaniement. C’est ainsi que certains montants ont été revus à la hausse d’autres en baisse (voir annexe)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A la fin de son exposé la parole a été donnée aux membres de la commission pour des questions d’éclaircissement. C’est ainsi que le représentant de l’éducation a voulu avoir en plus sur les classes en construction et le fond qu’il a jugé insuffisant en égard au chapitre IX  du budget ordonné. Là aussi le receveur a répondu que la préoccupation est prise en compte dans le budget d’investissement au chapitre XXII.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représentant de la santé </w:t>
      </w:r>
      <w:proofErr w:type="spellStart"/>
      <w:r>
        <w:rPr>
          <w:sz w:val="28"/>
          <w:szCs w:val="28"/>
        </w:rPr>
        <w:t>quand</w:t>
      </w:r>
      <w:proofErr w:type="spellEnd"/>
      <w:r>
        <w:rPr>
          <w:sz w:val="28"/>
          <w:szCs w:val="28"/>
        </w:rPr>
        <w:t xml:space="preserve"> à lui a voulu savoir par rapport à la réhabilitation de la case de santé de </w:t>
      </w:r>
      <w:proofErr w:type="spellStart"/>
      <w:r>
        <w:rPr>
          <w:sz w:val="28"/>
          <w:szCs w:val="28"/>
        </w:rPr>
        <w:t>Binguel</w:t>
      </w:r>
      <w:proofErr w:type="spellEnd"/>
      <w:r>
        <w:rPr>
          <w:sz w:val="28"/>
          <w:szCs w:val="28"/>
        </w:rPr>
        <w:t>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En somme : il faut retenir que le budget remanié est équilibré en recettes et en dépenses est approuvé comme suit :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Budget ordinaire : 110 644 266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Budget d’investissement : 320 721 249</w:t>
      </w:r>
    </w:p>
    <w:p w:rsidR="00F73ABA" w:rsidRDefault="00F73ABA" w:rsidP="00F73AB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Budget général : 431 368 515</w:t>
      </w:r>
    </w:p>
    <w:p w:rsidR="00F73ABA" w:rsidRDefault="00F73ABA" w:rsidP="00F73A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 divers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fut donnée aux membres de la commission pour évoquer des sujets qu’ils souhaitent débattre.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Ainsi le représentant  de la chefferie traditionnelle a attiré l’attention du conseil de la nécessité d’avoir un œil regardant dans la gestion du marché </w:t>
      </w:r>
      <w:proofErr w:type="gramStart"/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Afolé</w:t>
      </w:r>
      <w:proofErr w:type="spellEnd"/>
      <w:proofErr w:type="gramEnd"/>
      <w:r>
        <w:rPr>
          <w:sz w:val="28"/>
          <w:szCs w:val="28"/>
        </w:rPr>
        <w:t xml:space="preserve"> pour éviter des contentieux autour des hangars. Mieux certains ont proposé que la Mairie dédommage les propriétaires des champs afin de s’approprier le marché.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Le 2</w:t>
      </w:r>
      <w:r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représentant de la chefferie a demandé quant à lui une plus grande implication des éleveurs dans la récupération des aires de pâturages.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-Le représentant de l’éducation a plaidé pour un appui en moyens roulants, la réhabilitation d’une classe à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Mori</w:t>
      </w:r>
      <w:proofErr w:type="spellEnd"/>
      <w:r>
        <w:rPr>
          <w:sz w:val="28"/>
          <w:szCs w:val="28"/>
        </w:rPr>
        <w:t xml:space="preserve"> et a voulu savoir par rapport à la clôture des écoles relativement au bitumage de la route </w:t>
      </w:r>
      <w:proofErr w:type="spellStart"/>
      <w:r>
        <w:rPr>
          <w:sz w:val="28"/>
          <w:szCs w:val="28"/>
        </w:rPr>
        <w:t>Koré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Mairoua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Bolbol</w:t>
      </w:r>
      <w:proofErr w:type="spellEnd"/>
      <w:r>
        <w:rPr>
          <w:sz w:val="28"/>
          <w:szCs w:val="28"/>
        </w:rPr>
        <w:t>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-Le représentant de l’environnement a fait un cri d’alarme pour demander l’arrêt de la coupe abusive du </w:t>
      </w:r>
      <w:proofErr w:type="spellStart"/>
      <w:r>
        <w:rPr>
          <w:sz w:val="28"/>
          <w:szCs w:val="28"/>
        </w:rPr>
        <w:t>Gaoh</w:t>
      </w:r>
      <w:proofErr w:type="spellEnd"/>
      <w:r>
        <w:rPr>
          <w:sz w:val="28"/>
          <w:szCs w:val="28"/>
        </w:rPr>
        <w:t xml:space="preserve"> ; et des arbres sur le site de </w:t>
      </w:r>
      <w:proofErr w:type="spellStart"/>
      <w:r>
        <w:rPr>
          <w:sz w:val="28"/>
          <w:szCs w:val="28"/>
        </w:rPr>
        <w:t>Sakari</w:t>
      </w:r>
      <w:proofErr w:type="spellEnd"/>
      <w:r>
        <w:rPr>
          <w:sz w:val="28"/>
          <w:szCs w:val="28"/>
        </w:rPr>
        <w:t xml:space="preserve"> du fait que ce site a été déserté par ses gardiens pour impayés. Il a aussi informé l’assistance de la présence des girafes en divagation qui sont présentement dans la commune de </w:t>
      </w:r>
      <w:proofErr w:type="spellStart"/>
      <w:r>
        <w:rPr>
          <w:sz w:val="28"/>
          <w:szCs w:val="28"/>
        </w:rPr>
        <w:t>Guéchémé</w:t>
      </w:r>
      <w:proofErr w:type="spellEnd"/>
      <w:r>
        <w:rPr>
          <w:sz w:val="28"/>
          <w:szCs w:val="28"/>
        </w:rPr>
        <w:t>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Le représentant des jeunes a voulu savoir sur le parc d’agrément que la Mairie envisage de leur construire. Il a aussi plaidé pour une prise en compte des jeunes dans les éventuels recrutements que la Mairie pourrait être amené à faire.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Enfin il a voulu savoir sur la MJC ainsi que la digue de protection de la ville.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A toutes ces préoccupations des réponses ont été apportées par l’exécutif entre autre : Tout éventuel recrutement se fera conformément à la règlementation Nationale, la digue tient beaucoup à cœur à l’Administrateur Délégué et que sa protection est vitale pour la ville. Par rapport à la MJC, les documents de l’urbanisme ne considèrent pas la place dont pour le membre de la commission comme celle d’une MJC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-Le représentant de la société civile a évoqué la question de la radio communautaire, de la brigade de veille 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yan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banga</w:t>
      </w:r>
      <w:proofErr w:type="spellEnd"/>
      <w:r>
        <w:rPr>
          <w:sz w:val="28"/>
          <w:szCs w:val="28"/>
        </w:rPr>
        <w:t xml:space="preserve"> ), du terrain morcelé et de la commission consultative communale.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rapport à la brigade de veille, il est dit qu’il n’appartient pas à la Mairie de les recruter au niveau des villages. C’est plutôt aux villages de les recruter en fonction de leur moralité ; la Mairie s’en charge de les encadrer. 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Par rapport à la commission consultative, son mode de fonctionnement  a été rappelé.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En ce qui concerne le terrain morcelé par la commune des informations selon lesquelles la réserve serait déclassée ont été apportées.</w:t>
      </w: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sz w:val="28"/>
          <w:szCs w:val="28"/>
        </w:rPr>
        <w:t>Enfin l’Administrateur Délégué a informé le conseil de l’intention de la Commune de doter certains villages d’éclairage public solaires.</w:t>
      </w:r>
    </w:p>
    <w:p w:rsidR="00F73ABA" w:rsidRDefault="00F73ABA" w:rsidP="00F73AB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L’Ordre du jour étant épuisé, le Président a levé la séance</w:t>
      </w:r>
    </w:p>
    <w:p w:rsidR="00F73ABA" w:rsidRDefault="00F73ABA" w:rsidP="00F73ABA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Le Secrétaire de Séance</w:t>
      </w: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  <w:u w:val="single"/>
        </w:rPr>
        <w:t>L’Administrateur Délégué</w:t>
      </w: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F73ABA" w:rsidRDefault="00F73ABA" w:rsidP="00F73ABA">
      <w:pPr>
        <w:jc w:val="both"/>
        <w:rPr>
          <w:sz w:val="28"/>
          <w:szCs w:val="28"/>
        </w:rPr>
      </w:pPr>
    </w:p>
    <w:p w:rsidR="007F6CAE" w:rsidRDefault="005600F3"/>
    <w:sectPr w:rsidR="007F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068"/>
    <w:multiLevelType w:val="hybridMultilevel"/>
    <w:tmpl w:val="585ACFD0"/>
    <w:lvl w:ilvl="0" w:tplc="75FCADF0">
      <w:start w:val="1"/>
      <w:numFmt w:val="decimal"/>
      <w:lvlText w:val="%1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0BC2"/>
    <w:multiLevelType w:val="hybridMultilevel"/>
    <w:tmpl w:val="FDBEF2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720F5"/>
    <w:multiLevelType w:val="hybridMultilevel"/>
    <w:tmpl w:val="00ECB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E50E6"/>
    <w:multiLevelType w:val="hybridMultilevel"/>
    <w:tmpl w:val="61960C88"/>
    <w:lvl w:ilvl="0" w:tplc="3442231C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72F56"/>
    <w:multiLevelType w:val="hybridMultilevel"/>
    <w:tmpl w:val="B7887D3E"/>
    <w:lvl w:ilvl="0" w:tplc="276E2AF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BA"/>
    <w:rsid w:val="00200CED"/>
    <w:rsid w:val="005600F3"/>
    <w:rsid w:val="00D65F0E"/>
    <w:rsid w:val="00F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3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DE TIBIRI</dc:creator>
  <cp:lastModifiedBy>MARIE DE TIBIRI</cp:lastModifiedBy>
  <cp:revision>1</cp:revision>
  <cp:lastPrinted>2010-08-11T22:11:00Z</cp:lastPrinted>
  <dcterms:created xsi:type="dcterms:W3CDTF">2010-08-11T22:10:00Z</dcterms:created>
  <dcterms:modified xsi:type="dcterms:W3CDTF">2010-08-11T22:12:00Z</dcterms:modified>
</cp:coreProperties>
</file>